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32"/>
          <w:szCs w:val="32"/>
        </w:rPr>
      </w:pPr>
      <w:r>
        <w:rPr>
          <w:rFonts w:hint="eastAsia" w:ascii="宋体" w:hAnsi="宋体" w:eastAsia="宋体" w:cs="宋体"/>
          <w:b/>
          <w:bCs/>
          <w:sz w:val="32"/>
          <w:szCs w:val="32"/>
          <w:lang w:val="en-US" w:eastAsia="zh-CN"/>
        </w:rPr>
        <w:t>莆田市外国语学校（ 莆田第一中学妈祖城校区）植树工程建设</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招标文件</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ascii="宋体" w:hAnsi="宋体" w:eastAsia="宋体" w:cs="宋体"/>
          <w:sz w:val="28"/>
          <w:szCs w:val="28"/>
        </w:rPr>
      </w:pPr>
      <w:r>
        <w:rPr>
          <w:rFonts w:hint="eastAsia" w:ascii="宋体" w:hAnsi="宋体" w:eastAsia="宋体" w:cs="宋体"/>
          <w:sz w:val="28"/>
          <w:szCs w:val="28"/>
          <w:lang w:val="en-US" w:eastAsia="zh-CN"/>
        </w:rPr>
        <w:t>项 目 名 称：</w:t>
      </w:r>
      <w:bookmarkStart w:id="0" w:name="OLE_LINK1"/>
      <w:r>
        <w:rPr>
          <w:rFonts w:hint="eastAsia" w:ascii="宋体" w:hAnsi="宋体" w:eastAsia="宋体" w:cs="宋体"/>
          <w:sz w:val="28"/>
          <w:szCs w:val="28"/>
          <w:lang w:val="en-US" w:eastAsia="zh-CN"/>
        </w:rPr>
        <w:t>莆田市外国语学校（ 莆田第一中学妈祖城校区）植树</w:t>
      </w:r>
      <w:bookmarkEnd w:id="0"/>
      <w:r>
        <w:rPr>
          <w:rFonts w:hint="eastAsia" w:ascii="宋体" w:hAnsi="宋体" w:eastAsia="宋体" w:cs="宋体"/>
          <w:sz w:val="28"/>
          <w:szCs w:val="28"/>
          <w:lang w:val="en-US" w:eastAsia="zh-CN"/>
        </w:rPr>
        <w:t>工程</w:t>
      </w:r>
    </w:p>
    <w:p>
      <w:pPr>
        <w:rPr>
          <w:rFonts w:hint="eastAsia" w:ascii="宋体" w:hAnsi="宋体" w:eastAsia="宋体" w:cs="宋体"/>
          <w:sz w:val="28"/>
          <w:szCs w:val="28"/>
        </w:rPr>
      </w:pPr>
      <w:r>
        <w:rPr>
          <w:rFonts w:hint="eastAsia" w:ascii="宋体" w:hAnsi="宋体" w:eastAsia="宋体" w:cs="宋体"/>
          <w:sz w:val="28"/>
          <w:szCs w:val="28"/>
          <w:lang w:val="en-US" w:eastAsia="zh-CN"/>
        </w:rPr>
        <w:t>招标人：莆田市外国语学校（ 莆田第一中学妈祖城校区） （盖章）</w:t>
      </w:r>
    </w:p>
    <w:p>
      <w:pPr>
        <w:rPr>
          <w:rFonts w:hint="eastAsia" w:ascii="宋体" w:hAnsi="宋体" w:eastAsia="宋体" w:cs="宋体"/>
          <w:sz w:val="28"/>
          <w:szCs w:val="28"/>
        </w:rPr>
      </w:pPr>
      <w:r>
        <w:rPr>
          <w:rFonts w:hint="eastAsia" w:ascii="宋体" w:hAnsi="宋体" w:eastAsia="宋体" w:cs="宋体"/>
          <w:sz w:val="28"/>
          <w:szCs w:val="28"/>
          <w:lang w:val="en-US" w:eastAsia="zh-CN"/>
        </w:rPr>
        <w:t>法定代表人：         </w:t>
      </w:r>
      <w:r>
        <w:rPr>
          <w:rFonts w:hint="eastAsia"/>
          <w:lang w:val="en-US" w:eastAsia="zh-CN"/>
        </w:rPr>
        <w:t xml:space="preserve">                                      </w:t>
      </w:r>
      <w:r>
        <w:rPr>
          <w:rFonts w:hint="eastAsia" w:ascii="宋体" w:hAnsi="宋体" w:eastAsia="宋体" w:cs="宋体"/>
          <w:sz w:val="28"/>
          <w:szCs w:val="28"/>
          <w:lang w:val="en-US" w:eastAsia="zh-CN"/>
        </w:rPr>
        <w:t>（盖章)</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jc w:val="right"/>
        <w:rPr>
          <w:rFonts w:hint="eastAsia" w:ascii="宋体" w:hAnsi="宋体" w:eastAsia="宋体" w:cs="宋体"/>
          <w:sz w:val="28"/>
          <w:szCs w:val="28"/>
        </w:rPr>
      </w:pPr>
      <w:r>
        <w:rPr>
          <w:rFonts w:hint="eastAsia" w:ascii="宋体" w:hAnsi="宋体" w:eastAsia="宋体" w:cs="宋体"/>
          <w:sz w:val="28"/>
          <w:szCs w:val="28"/>
          <w:lang w:val="en-US" w:eastAsia="zh-CN"/>
        </w:rPr>
        <w:t>日期：2016年6月</w:t>
      </w:r>
    </w:p>
    <w:p>
      <w:pPr>
        <w:rPr>
          <w:rFonts w:hint="eastAsia"/>
          <w:sz w:val="28"/>
          <w:szCs w:val="28"/>
        </w:rPr>
      </w:pPr>
      <w:r>
        <w:rPr>
          <w:rFonts w:hint="eastAsia"/>
          <w:sz w:val="28"/>
          <w:szCs w:val="28"/>
          <w:lang w:val="en-US" w:eastAsia="zh-CN"/>
        </w:rPr>
        <w:t> </w:t>
      </w:r>
    </w:p>
    <w:p>
      <w:pPr>
        <w:rPr>
          <w:rFonts w:hint="eastAsia"/>
          <w:sz w:val="28"/>
          <w:szCs w:val="28"/>
        </w:rPr>
      </w:pPr>
      <w:r>
        <w:rPr>
          <w:rFonts w:hint="eastAsia"/>
          <w:sz w:val="28"/>
          <w:szCs w:val="28"/>
          <w:lang w:val="en-US" w:eastAsia="zh-CN"/>
        </w:rPr>
        <w:t> </w:t>
      </w: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rPr>
      </w:pPr>
      <w:r>
        <w:rPr>
          <w:rFonts w:hint="eastAsia"/>
          <w:sz w:val="28"/>
          <w:szCs w:val="28"/>
          <w:lang w:val="en-US" w:eastAsia="zh-CN"/>
        </w:rPr>
        <w:t>第一部分 投标人须知</w:t>
      </w:r>
    </w:p>
    <w:p>
      <w:pPr>
        <w:rPr>
          <w:rFonts w:hint="eastAsia"/>
          <w:sz w:val="28"/>
          <w:szCs w:val="28"/>
        </w:rPr>
      </w:pPr>
      <w:r>
        <w:rPr>
          <w:rFonts w:hint="eastAsia"/>
          <w:sz w:val="28"/>
          <w:szCs w:val="28"/>
          <w:lang w:val="en-US" w:eastAsia="zh-CN"/>
        </w:rPr>
        <w:t>（一）总则</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 工程说明</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1.1 项目名称：</w:t>
      </w:r>
      <w:r>
        <w:rPr>
          <w:rFonts w:hint="eastAsia" w:ascii="宋体" w:hAnsi="宋体" w:eastAsia="宋体" w:cs="宋体"/>
          <w:color w:val="000000" w:themeColor="text1"/>
          <w:sz w:val="28"/>
          <w:szCs w:val="28"/>
          <w:lang w:val="en-US" w:eastAsia="zh-CN"/>
          <w14:textFill>
            <w14:solidFill>
              <w14:schemeClr w14:val="tx1"/>
            </w14:solidFill>
          </w14:textFill>
        </w:rPr>
        <w:t>莆田市外国语学校（ 莆田第一中学妈祖城校区）植树工程</w:t>
      </w:r>
      <w:r>
        <w:rPr>
          <w:rFonts w:hint="eastAsia"/>
          <w:color w:val="000000" w:themeColor="text1"/>
          <w:sz w:val="28"/>
          <w:szCs w:val="28"/>
          <w:lang w:val="en-US" w:eastAsia="zh-CN"/>
          <w14:textFill>
            <w14:solidFill>
              <w14:schemeClr w14:val="tx1"/>
            </w14:solidFill>
          </w14:textFill>
        </w:rPr>
        <w:t> </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1.2建设地点: 湄洲湾北岸经济开发区山亭镇港里村上港399号</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1.3建设规模: 植树1423棵</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1.4承包方式:包工</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1.5质量标准:成活率达95%以上</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1.6 招标范围:按工程量清单的全部内容。</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1.7施工总工期: 3日历天</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1.8 资金来源: 自筹</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 获取招标文件方式</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投标人在招标公告规定的时间内在莆田市外国语学校网站自行下载。</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 投标人的资格资质要求</w:t>
      </w:r>
      <w:r>
        <w:rPr>
          <w:rFonts w:hint="eastAsia"/>
          <w:color w:val="000000" w:themeColor="text1"/>
          <w:sz w:val="28"/>
          <w:szCs w:val="28"/>
          <w:lang w:val="en-US" w:eastAsia="zh-CN"/>
          <w14:textFill>
            <w14:solidFill>
              <w14:schemeClr w14:val="tx1"/>
            </w14:solidFill>
          </w14:textFill>
        </w:rPr>
        <w:br w:type="textWrapping"/>
      </w:r>
      <w:r>
        <w:rPr>
          <w:rFonts w:hint="eastAsia"/>
          <w:color w:val="000000" w:themeColor="text1"/>
          <w:sz w:val="28"/>
          <w:szCs w:val="28"/>
          <w:lang w:val="en-US" w:eastAsia="zh-CN"/>
          <w14:textFill>
            <w14:solidFill>
              <w14:schemeClr w14:val="tx1"/>
            </w14:solidFill>
          </w14:textFill>
        </w:rPr>
        <w:t>3.1具有园林绿化、景观设计与建设的独立法人。</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4投标费用</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投标人应承担其编制投标文件与递交投标文件所涉及的一切费用，不管投标结果如何，招标人对上述费用不负任何责任。</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 本招标工程项目不允许违法转包、分包。</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（二）招标文件</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 招标文件</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招标文件由投标人须知、合同条款、投标文件（格式）、工程量清单组成。</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   现场踏勘</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7.1招标人不组织现场勘察。招标人向投标人提供的有关现场的数据和资料，是招标人现有的能被投标人利用的资料，招标人对投标人作出的任何推论、理解和结论均不负责任。</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7.2 参加现场踏勘等咨询活动不是强制性的，由投标人自行决定。</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7.3投标人可为踏勘目的进入招标人的工程项目现场，但投标人不得因此使招标人承担有关的责任和蒙受损失。投标人应承担踏勘现场的费用、责任和风险。</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8 招标人不组织投标答疑会。</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9工程预算价：80995元（人民币），该价格，包括运费、种植费、工人保险费、移栽树木所需土方和税费等。</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10 工程最高限价</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工程最高限价为80995元（人民币），该价格包括运费、种植费、工人保险费、移栽树木所需土方和税费。</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11 合同承包价</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招投标双方在签订施工合同时，工程中标价即为合同承包价。</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12 投标保证金的缴交和退还</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投标保证金金额为人民币:叁仟元整(￥ 3000.00元)，投标保证金应以现金形式与投标文件一起提交。未中标者当场退还投标保证金，中标者投标保证金可以直接转为工程履约保证金。</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12.1未按要求提交投标保证金的投标将被视为无效投标。</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12.2发生下列情况之一，投标保证金将被没收：</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 开标后在投标有效期间，投标人撤回其投标书的；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 中标人放弃中标的或不按规定签约的；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 中标人在规定的期限内未提交履约保证金的；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13 投标工期及质量</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13.1本招标工程项目总工期不超过3日历天。逾期未能完成，将按每日300元赔偿招标人损失。</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13.2工程质量要求按照国家质量验收标准，综合评定指标达到国家质量验收合格标准。若质量验收评定不能达到合格，所造成的一切损失由施工单位承担。</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14工程预算价编制说明</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按市场行情编制预算书。</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15 工程清单</w:t>
      </w:r>
    </w:p>
    <w:tbl>
      <w:tblPr>
        <w:tblStyle w:val="4"/>
        <w:tblW w:w="8501" w:type="dxa"/>
        <w:tblCellSpacing w:w="0" w:type="dxa"/>
        <w:tblInd w:w="0" w:type="dxa"/>
        <w:shd w:val="clear" w:color="auto" w:fill="FFFFFF"/>
        <w:tblLayout w:type="fixed"/>
        <w:tblCellMar>
          <w:top w:w="0" w:type="dxa"/>
          <w:left w:w="0" w:type="dxa"/>
          <w:bottom w:w="0" w:type="dxa"/>
          <w:right w:w="0" w:type="dxa"/>
        </w:tblCellMar>
      </w:tblPr>
      <w:tblGrid>
        <w:gridCol w:w="720"/>
        <w:gridCol w:w="2280"/>
        <w:gridCol w:w="2946"/>
        <w:gridCol w:w="1333"/>
        <w:gridCol w:w="1222"/>
      </w:tblGrid>
      <w:tr>
        <w:tblPrEx>
          <w:shd w:val="clear" w:color="auto" w:fill="FFFFFF"/>
          <w:tblLayout w:type="fixed"/>
          <w:tblCellMar>
            <w:top w:w="0" w:type="dxa"/>
            <w:left w:w="0" w:type="dxa"/>
            <w:bottom w:w="0" w:type="dxa"/>
            <w:right w:w="0" w:type="dxa"/>
          </w:tblCellMar>
        </w:tblPrEx>
        <w:trPr>
          <w:tblCellSpacing w:w="0" w:type="dxa"/>
        </w:trPr>
        <w:tc>
          <w:tcPr>
            <w:tcW w:w="8501" w:type="dxa"/>
            <w:gridSpan w:val="5"/>
            <w:shd w:val="clear" w:color="auto" w:fill="FFFFFF"/>
            <w:vAlign w:val="center"/>
          </w:tcPr>
          <w:p>
            <w:pPr>
              <w:rPr>
                <w:rFonts w:hint="eastAsia"/>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莆田市外国语学校植树</w:t>
            </w:r>
            <w:r>
              <w:rPr>
                <w:rFonts w:hint="eastAsia"/>
                <w:color w:val="000000" w:themeColor="text1"/>
                <w:sz w:val="28"/>
                <w:szCs w:val="28"/>
                <w:lang w:val="en-US" w:eastAsia="zh-CN"/>
                <w14:textFill>
                  <w14:solidFill>
                    <w14:schemeClr w14:val="tx1"/>
                  </w14:solidFill>
                </w14:textFill>
              </w:rPr>
              <w:t>清单</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序号</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项目名称</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项目特征描述</w:t>
            </w:r>
          </w:p>
        </w:tc>
        <w:tc>
          <w:tcPr>
            <w:tcW w:w="1333"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计量单位</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数量</w:t>
            </w:r>
          </w:p>
        </w:tc>
      </w:tr>
      <w:tr>
        <w:tblPrEx>
          <w:tblLayout w:type="fixed"/>
          <w:tblCellMar>
            <w:top w:w="0" w:type="dxa"/>
            <w:left w:w="0" w:type="dxa"/>
            <w:bottom w:w="0" w:type="dxa"/>
            <w:right w:w="0" w:type="dxa"/>
          </w:tblCellMar>
        </w:tblPrEx>
        <w:trPr>
          <w:trHeight w:val="1131" w:hRule="atLeast"/>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樟树</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（1）胸径：12cm-14cm</w:t>
            </w:r>
            <w:r>
              <w:rPr>
                <w:rFonts w:hint="eastAsia"/>
                <w:color w:val="000000" w:themeColor="text1"/>
                <w:sz w:val="28"/>
                <w:szCs w:val="28"/>
                <w:lang w:val="en-US" w:eastAsia="zh-CN"/>
                <w14:textFill>
                  <w14:solidFill>
                    <w14:schemeClr w14:val="tx1"/>
                  </w14:solidFill>
                </w14:textFill>
              </w:rPr>
              <w:br w:type="textWrapping"/>
            </w:r>
            <w:r>
              <w:rPr>
                <w:rFonts w:hint="eastAsia"/>
                <w:color w:val="000000" w:themeColor="text1"/>
                <w:sz w:val="28"/>
                <w:szCs w:val="28"/>
                <w:lang w:val="en-US" w:eastAsia="zh-CN"/>
                <w14:textFill>
                  <w14:solidFill>
                    <w14:schemeClr w14:val="tx1"/>
                  </w14:solidFill>
                </w14:textFill>
              </w:rPr>
              <w:t>（2）养护期：6个月</w:t>
            </w:r>
          </w:p>
        </w:tc>
        <w:tc>
          <w:tcPr>
            <w:tcW w:w="1333" w:type="dxa"/>
            <w:shd w:val="clear" w:color="auto" w:fill="FFFFFF"/>
            <w:vAlign w:val="center"/>
          </w:tcPr>
          <w:p>
            <w:pP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棵</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100</w:t>
            </w:r>
          </w:p>
        </w:tc>
      </w:tr>
      <w:tr>
        <w:tblPrEx>
          <w:tblLayout w:type="fixed"/>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盆架木</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（1）胸径：12cm-14cm</w:t>
            </w:r>
            <w:r>
              <w:rPr>
                <w:rFonts w:hint="eastAsia"/>
                <w:color w:val="000000" w:themeColor="text1"/>
                <w:sz w:val="28"/>
                <w:szCs w:val="28"/>
                <w:lang w:val="en-US" w:eastAsia="zh-CN"/>
                <w14:textFill>
                  <w14:solidFill>
                    <w14:schemeClr w14:val="tx1"/>
                  </w14:solidFill>
                </w14:textFill>
              </w:rPr>
              <w:br w:type="textWrapping"/>
            </w:r>
            <w:r>
              <w:rPr>
                <w:rFonts w:hint="eastAsia"/>
                <w:color w:val="000000" w:themeColor="text1"/>
                <w:sz w:val="28"/>
                <w:szCs w:val="28"/>
                <w:lang w:val="en-US" w:eastAsia="zh-CN"/>
                <w14:textFill>
                  <w14:solidFill>
                    <w14:schemeClr w14:val="tx1"/>
                  </w14:solidFill>
                </w14:textFill>
              </w:rPr>
              <w:t>（2）养护期：6个月</w:t>
            </w:r>
          </w:p>
        </w:tc>
        <w:tc>
          <w:tcPr>
            <w:tcW w:w="1333"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eastAsia="zh-CN"/>
                <w14:textFill>
                  <w14:solidFill>
                    <w14:schemeClr w14:val="tx1"/>
                  </w14:solidFill>
                </w14:textFill>
              </w:rPr>
              <w:t>棵</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刺桐</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（1）胸径：12cm-14cm</w:t>
            </w:r>
            <w:r>
              <w:rPr>
                <w:rFonts w:hint="eastAsia"/>
                <w:color w:val="000000" w:themeColor="text1"/>
                <w:sz w:val="28"/>
                <w:szCs w:val="28"/>
                <w:lang w:val="en-US" w:eastAsia="zh-CN"/>
                <w14:textFill>
                  <w14:solidFill>
                    <w14:schemeClr w14:val="tx1"/>
                  </w14:solidFill>
                </w14:textFill>
              </w:rPr>
              <w:br w:type="textWrapping"/>
            </w:r>
            <w:r>
              <w:rPr>
                <w:rFonts w:hint="eastAsia"/>
                <w:color w:val="000000" w:themeColor="text1"/>
                <w:sz w:val="28"/>
                <w:szCs w:val="28"/>
                <w:lang w:val="en-US" w:eastAsia="zh-CN"/>
                <w14:textFill>
                  <w14:solidFill>
                    <w14:schemeClr w14:val="tx1"/>
                  </w14:solidFill>
                </w14:textFill>
              </w:rPr>
              <w:t>（2）养护期：6个月</w:t>
            </w:r>
          </w:p>
        </w:tc>
        <w:tc>
          <w:tcPr>
            <w:tcW w:w="1333"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棵</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高山榕</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（1）胸径：9cm-10cm</w:t>
            </w:r>
            <w:r>
              <w:rPr>
                <w:rFonts w:hint="eastAsia"/>
                <w:color w:val="000000" w:themeColor="text1"/>
                <w:sz w:val="28"/>
                <w:szCs w:val="28"/>
                <w:lang w:val="en-US" w:eastAsia="zh-CN"/>
                <w14:textFill>
                  <w14:solidFill>
                    <w14:schemeClr w14:val="tx1"/>
                  </w14:solidFill>
                </w14:textFill>
              </w:rPr>
              <w:br w:type="textWrapping"/>
            </w:r>
            <w:r>
              <w:rPr>
                <w:rFonts w:hint="eastAsia"/>
                <w:color w:val="000000" w:themeColor="text1"/>
                <w:sz w:val="28"/>
                <w:szCs w:val="28"/>
                <w:lang w:val="en-US" w:eastAsia="zh-CN"/>
                <w14:textFill>
                  <w14:solidFill>
                    <w14:schemeClr w14:val="tx1"/>
                  </w14:solidFill>
                </w14:textFill>
              </w:rPr>
              <w:t>（2）养护期：6个月</w:t>
            </w:r>
          </w:p>
        </w:tc>
        <w:tc>
          <w:tcPr>
            <w:tcW w:w="1333"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棵</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小叶榕</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（1）胸径：9cm-10cm</w:t>
            </w:r>
            <w:r>
              <w:rPr>
                <w:rFonts w:hint="eastAsia"/>
                <w:color w:val="000000" w:themeColor="text1"/>
                <w:sz w:val="28"/>
                <w:szCs w:val="28"/>
                <w:lang w:val="en-US" w:eastAsia="zh-CN"/>
                <w14:textFill>
                  <w14:solidFill>
                    <w14:schemeClr w14:val="tx1"/>
                  </w14:solidFill>
                </w14:textFill>
              </w:rPr>
              <w:br w:type="textWrapping"/>
            </w:r>
            <w:r>
              <w:rPr>
                <w:rFonts w:hint="eastAsia"/>
                <w:color w:val="000000" w:themeColor="text1"/>
                <w:sz w:val="28"/>
                <w:szCs w:val="28"/>
                <w:lang w:val="en-US" w:eastAsia="zh-CN"/>
                <w14:textFill>
                  <w14:solidFill>
                    <w14:schemeClr w14:val="tx1"/>
                  </w14:solidFill>
                </w14:textFill>
              </w:rPr>
              <w:t>（2）养护期：6个月</w:t>
            </w:r>
          </w:p>
        </w:tc>
        <w:tc>
          <w:tcPr>
            <w:tcW w:w="1333" w:type="dxa"/>
            <w:shd w:val="clear" w:color="auto" w:fill="FFFFFF"/>
            <w:vAlign w:val="center"/>
          </w:tcPr>
          <w:p>
            <w:pP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棵</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三角梅</w:t>
            </w:r>
          </w:p>
        </w:tc>
        <w:tc>
          <w:tcPr>
            <w:tcW w:w="2946" w:type="dxa"/>
            <w:shd w:val="clear" w:color="auto" w:fill="FFFFFF"/>
            <w:vAlign w:val="center"/>
          </w:tcPr>
          <w:p>
            <w:pPr>
              <w:numPr>
                <w:ilvl w:val="0"/>
                <w:numId w:val="1"/>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养护期：6个月</w:t>
            </w:r>
          </w:p>
          <w:p>
            <w:pPr>
              <w:numPr>
                <w:ilvl w:val="0"/>
                <w:numId w:val="1"/>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100cm*100cm</w:t>
            </w:r>
          </w:p>
        </w:tc>
        <w:tc>
          <w:tcPr>
            <w:tcW w:w="1333" w:type="dxa"/>
            <w:shd w:val="clear" w:color="auto" w:fill="FFFFFF"/>
            <w:vAlign w:val="center"/>
          </w:tcPr>
          <w:p>
            <w:pP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棵</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7</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紫荆移、栽</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（1）胸径：8cm-9cm</w:t>
            </w:r>
            <w:r>
              <w:rPr>
                <w:rFonts w:hint="eastAsia"/>
                <w:color w:val="000000" w:themeColor="text1"/>
                <w:sz w:val="28"/>
                <w:szCs w:val="28"/>
                <w:lang w:val="en-US" w:eastAsia="zh-CN"/>
                <w14:textFill>
                  <w14:solidFill>
                    <w14:schemeClr w14:val="tx1"/>
                  </w14:solidFill>
                </w14:textFill>
              </w:rPr>
              <w:br w:type="textWrapping"/>
            </w:r>
            <w:r>
              <w:rPr>
                <w:rFonts w:hint="eastAsia"/>
                <w:color w:val="000000" w:themeColor="text1"/>
                <w:sz w:val="28"/>
                <w:szCs w:val="28"/>
                <w:lang w:val="en-US" w:eastAsia="zh-CN"/>
                <w14:textFill>
                  <w14:solidFill>
                    <w14:schemeClr w14:val="tx1"/>
                  </w14:solidFill>
                </w14:textFill>
              </w:rPr>
              <w:t>（2）养护期：6个月</w:t>
            </w:r>
          </w:p>
        </w:tc>
        <w:tc>
          <w:tcPr>
            <w:tcW w:w="1333"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棵</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323</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8</w:t>
            </w:r>
          </w:p>
        </w:tc>
        <w:tc>
          <w:tcPr>
            <w:tcW w:w="2280" w:type="dxa"/>
            <w:shd w:val="clear" w:color="auto" w:fill="FFFFFF"/>
            <w:vAlign w:val="center"/>
          </w:tcPr>
          <w:p>
            <w:pPr>
              <w:rPr>
                <w:rFonts w:hint="eastAsia"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树木支撑架</w:t>
            </w:r>
          </w:p>
        </w:tc>
        <w:tc>
          <w:tcPr>
            <w:tcW w:w="2946" w:type="dxa"/>
            <w:shd w:val="clear" w:color="auto" w:fill="FFFFFF"/>
            <w:vAlign w:val="top"/>
          </w:tcPr>
          <w:p>
            <w:pPr>
              <w:jc w:val="both"/>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材质：毛竹  </w:t>
            </w:r>
          </w:p>
          <w:p>
            <w:pPr>
              <w:jc w:val="both"/>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直径</w:t>
            </w:r>
            <w:r>
              <w:rPr>
                <w:rFonts w:hint="default" w:ascii="Arial" w:hAnsi="Arial" w:cs="Arial"/>
                <w:color w:val="000000" w:themeColor="text1"/>
                <w:sz w:val="28"/>
                <w:szCs w:val="28"/>
                <w:lang w:eastAsia="zh-CN"/>
                <w14:textFill>
                  <w14:solidFill>
                    <w14:schemeClr w14:val="tx1"/>
                  </w14:solidFill>
                </w14:textFill>
              </w:rPr>
              <w:t>≥</w:t>
            </w:r>
            <w:r>
              <w:rPr>
                <w:rFonts w:hint="eastAsia" w:ascii="Arial" w:hAnsi="Arial" w:cs="Arial"/>
                <w:color w:val="000000" w:themeColor="text1"/>
                <w:sz w:val="28"/>
                <w:szCs w:val="28"/>
                <w:lang w:val="en-US" w:eastAsia="zh-CN"/>
                <w14:textFill>
                  <w14:solidFill>
                    <w14:schemeClr w14:val="tx1"/>
                  </w14:solidFill>
                </w14:textFill>
              </w:rPr>
              <w:t>4c 长度</w:t>
            </w:r>
            <w:r>
              <w:rPr>
                <w:rFonts w:hint="default" w:ascii="Arial" w:hAnsi="Arial" w:cs="Arial"/>
                <w:color w:val="000000" w:themeColor="text1"/>
                <w:sz w:val="28"/>
                <w:szCs w:val="28"/>
                <w:lang w:val="en-US" w:eastAsia="zh-CN"/>
                <w14:textFill>
                  <w14:solidFill>
                    <w14:schemeClr w14:val="tx1"/>
                  </w14:solidFill>
                </w14:textFill>
              </w:rPr>
              <w:t>≥</w:t>
            </w:r>
            <w:r>
              <w:rPr>
                <w:rFonts w:hint="eastAsia" w:ascii="Arial" w:hAnsi="Arial" w:cs="Arial"/>
                <w:color w:val="000000" w:themeColor="text1"/>
                <w:sz w:val="28"/>
                <w:szCs w:val="28"/>
                <w:lang w:val="en-US" w:eastAsia="zh-CN"/>
                <w14:textFill>
                  <w14:solidFill>
                    <w14:schemeClr w14:val="tx1"/>
                  </w14:solidFill>
                </w14:textFill>
              </w:rPr>
              <w:t>2.5cm</w:t>
            </w:r>
          </w:p>
        </w:tc>
        <w:tc>
          <w:tcPr>
            <w:tcW w:w="1333" w:type="dxa"/>
            <w:shd w:val="clear" w:color="auto" w:fill="FFFFFF"/>
            <w:vAlign w:val="center"/>
          </w:tcPr>
          <w:p>
            <w:pP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支</w:t>
            </w:r>
          </w:p>
        </w:tc>
        <w:tc>
          <w:tcPr>
            <w:tcW w:w="1222" w:type="dxa"/>
            <w:shd w:val="clear" w:color="auto" w:fill="FFFFFF"/>
            <w:vAlign w:val="center"/>
          </w:tcPr>
          <w:p>
            <w:pPr>
              <w:rPr>
                <w:rFonts w:hint="eastAsia"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2769</w:t>
            </w:r>
          </w:p>
        </w:tc>
      </w:tr>
      <w:tr>
        <w:tblPrEx>
          <w:tblLayout w:type="fixed"/>
          <w:tblCellMar>
            <w:top w:w="0" w:type="dxa"/>
            <w:left w:w="0" w:type="dxa"/>
            <w:bottom w:w="0" w:type="dxa"/>
            <w:right w:w="0" w:type="dxa"/>
          </w:tblCellMar>
        </w:tblPrEx>
        <w:trPr>
          <w:trHeight w:val="781" w:hRule="atLeast"/>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9</w:t>
            </w:r>
          </w:p>
        </w:tc>
        <w:tc>
          <w:tcPr>
            <w:tcW w:w="2280" w:type="dxa"/>
            <w:shd w:val="clear" w:color="auto" w:fill="FFFFFF"/>
            <w:vAlign w:val="center"/>
          </w:tcPr>
          <w:p>
            <w:pP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基肥</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     50斤/包</w:t>
            </w:r>
          </w:p>
        </w:tc>
        <w:tc>
          <w:tcPr>
            <w:tcW w:w="1333" w:type="dxa"/>
            <w:shd w:val="clear" w:color="auto" w:fill="FFFFFF"/>
            <w:vAlign w:val="center"/>
          </w:tcPr>
          <w:p>
            <w:pPr>
              <w:rPr>
                <w:rFonts w:hint="eastAsia" w:eastAsiaTheme="minorEastAsia"/>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包</w:t>
            </w:r>
          </w:p>
        </w:tc>
        <w:tc>
          <w:tcPr>
            <w:tcW w:w="1222" w:type="dxa"/>
            <w:shd w:val="clear" w:color="auto" w:fill="FFFFFF"/>
            <w:vAlign w:val="center"/>
          </w:tcPr>
          <w:p>
            <w:pPr>
              <w:rPr>
                <w:rFonts w:hint="eastAsia" w:eastAsiaTheme="minor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100</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10</w:t>
            </w:r>
          </w:p>
        </w:tc>
        <w:tc>
          <w:tcPr>
            <w:tcW w:w="2280"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整理绿化用地</w:t>
            </w:r>
          </w:p>
        </w:tc>
        <w:tc>
          <w:tcPr>
            <w:tcW w:w="2946"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w:t>
            </w:r>
          </w:p>
        </w:tc>
        <w:tc>
          <w:tcPr>
            <w:tcW w:w="1333"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m2</w:t>
            </w:r>
          </w:p>
        </w:tc>
        <w:tc>
          <w:tcPr>
            <w:tcW w:w="1222" w:type="dxa"/>
            <w:shd w:val="clear" w:color="auto" w:fill="FFFFFF"/>
            <w:vAlign w:val="center"/>
          </w:tcPr>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约900m²</w:t>
            </w:r>
          </w:p>
        </w:tc>
      </w:tr>
      <w:tr>
        <w:tblPrEx>
          <w:tblLayout w:type="fixed"/>
          <w:tblCellMar>
            <w:top w:w="0" w:type="dxa"/>
            <w:left w:w="0" w:type="dxa"/>
            <w:bottom w:w="0" w:type="dxa"/>
            <w:right w:w="0" w:type="dxa"/>
          </w:tblCellMar>
        </w:tblPrEx>
        <w:trPr>
          <w:tblCellSpacing w:w="0" w:type="dxa"/>
        </w:trPr>
        <w:tc>
          <w:tcPr>
            <w:tcW w:w="720" w:type="dxa"/>
            <w:shd w:val="clear" w:color="auto" w:fill="FFFFFF"/>
            <w:vAlign w:val="center"/>
          </w:tcPr>
          <w:p>
            <w:p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11</w:t>
            </w:r>
          </w:p>
        </w:tc>
        <w:tc>
          <w:tcPr>
            <w:tcW w:w="2280" w:type="dxa"/>
            <w:shd w:val="clear" w:color="auto" w:fill="FFFFFF"/>
            <w:vAlign w:val="center"/>
          </w:tcPr>
          <w:p>
            <w:pPr>
              <w:rPr>
                <w:rFonts w:hint="eastAsia"/>
                <w:color w:val="000000" w:themeColor="text1"/>
                <w:sz w:val="28"/>
                <w:szCs w:val="28"/>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更换原紫荆所在土方</w:t>
            </w:r>
          </w:p>
        </w:tc>
        <w:tc>
          <w:tcPr>
            <w:tcW w:w="2946" w:type="dxa"/>
            <w:shd w:val="clear" w:color="auto" w:fill="FFFFFF"/>
            <w:vAlign w:val="center"/>
          </w:tcPr>
          <w:p>
            <w:p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无不利树木增长杂质</w:t>
            </w:r>
          </w:p>
        </w:tc>
        <w:tc>
          <w:tcPr>
            <w:tcW w:w="1333" w:type="dxa"/>
            <w:shd w:val="clear" w:color="auto" w:fill="FFFFFF"/>
            <w:vAlign w:val="center"/>
          </w:tcPr>
          <w:p>
            <w:pPr>
              <w:rPr>
                <w:rFonts w:hint="eastAsia"/>
                <w:color w:val="000000" w:themeColor="text1"/>
                <w:sz w:val="28"/>
                <w:szCs w:val="28"/>
                <w:lang w:val="en-US" w:eastAsia="zh-CN"/>
                <w14:textFill>
                  <w14:solidFill>
                    <w14:schemeClr w14:val="tx1"/>
                  </w14:solidFill>
                </w14:textFill>
              </w:rPr>
            </w:pPr>
          </w:p>
        </w:tc>
        <w:tc>
          <w:tcPr>
            <w:tcW w:w="1222" w:type="dxa"/>
            <w:shd w:val="clear" w:color="auto" w:fill="FFFFFF"/>
            <w:vAlign w:val="center"/>
          </w:tcPr>
          <w:p>
            <w:pPr>
              <w:rPr>
                <w:rFonts w:hint="eastAsia"/>
                <w:color w:val="000000" w:themeColor="text1"/>
                <w:sz w:val="28"/>
                <w:szCs w:val="28"/>
                <w:lang w:val="en-US" w:eastAsia="zh-CN"/>
                <w14:textFill>
                  <w14:solidFill>
                    <w14:schemeClr w14:val="tx1"/>
                  </w14:solidFill>
                </w14:textFill>
              </w:rPr>
            </w:pPr>
          </w:p>
        </w:tc>
      </w:tr>
    </w:tbl>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（三）投标文件的递交</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16 投标文件的密封及标记</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投标文件（正本一份、副本一份）应密封完整。包封上应写明：①招标人名称；②投标人的名称、地址与邮政编码；③“开标时间前不得开封”的字样；包封口处应加盖投标人公章，并由法定代表人盖章或其授权代理人盖章，否则招标人不予接收。</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17 投标文件的提交和投标截止时间</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17.1 投标文件提交截止时间   2016年 6月20日上午 9:00 前，提交投标文件地点为：莆田市外国语学校2#楼3层304会议室。</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18.1投标人须随带个人身份证、法定代表人资格证明书或法定代表人授权委托书参加开标会。</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18.2存在下列情形之一的，招标人不予开启其投标文件并予以退还：</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（1）投标文件逾期送达的；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（2）投标文件外包封未按要求密封或盖章的；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（3）投标人代表未随带有效身份证的；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（4）投标人未提交法定代表人资格证明书或法定代表人授权委托书的；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（5）法定代表人资格证明书或法定代表人授权委托书未按要求签字、盖章的；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（6）未按规定提交投标保证金。</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（四）开标、评标、定标</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19 开标</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19.1开标会定于 2016年 6 月20日上午10:00 在莆田市外国语学校2#楼3层304会议室进行，开标会由招标人主持，投标人的法定代表人或其委托的代理人必须参加开标会。</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19.2开标程序：</w:t>
      </w:r>
    </w:p>
    <w:p>
      <w:pPr>
        <w:numPr>
          <w:ilvl w:val="0"/>
          <w:numId w:val="2"/>
        </w:numPr>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招标人介绍参加开标会的有关单位；</w:t>
      </w:r>
    </w:p>
    <w:p>
      <w:pPr>
        <w:numPr>
          <w:ilvl w:val="0"/>
          <w:numId w:val="2"/>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宣布招标方法：采用低价方式选择中标单位。</w:t>
      </w:r>
    </w:p>
    <w:p>
      <w:pPr>
        <w:numPr>
          <w:ilvl w:val="0"/>
          <w:numId w:val="2"/>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投标人代表检查投标文件密封情况并签字确认。</w:t>
      </w:r>
    </w:p>
    <w:p>
      <w:pPr>
        <w:numPr>
          <w:ilvl w:val="0"/>
          <w:numId w:val="2"/>
        </w:num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宣布中标单位。</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20.1 招标人对投标人的资格、资质和投标文件的有效性进行审查。</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 投标文件或投标人存在下列情形之一的，应当作为不合格标处理：</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20.2.1 投标人不符合规定资质条件且或因违法违规被限制参加相应项目投标的潜在投标人；</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20.2.2投标单位未能按招标文件要求提供证书复印件或证书复印件提供不全的；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20.2.3 投标人的企业资质不符合招标文件要求；</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20.2.4投标承诺函未按要求格式填写或签字、盖章的；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20.2.5投标人的承诺不满足招标文件要求的；</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21 确定中标人</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21.1 从审查合格的投标人中以低价方式确定中标人。</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21.2 经过审查，应有三家以上(含三家)合格投标人，以低价方式确定中标人,如出现少于三家合格投标人,本次招标无效,应重新招标。</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21.3招标人应当自确定中标人之日起，将招标项目名称、中标人名称及其中标金额在招标人所在单位公示。</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22 中标通知</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在开标完成后通知中标结果。</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（五）授予合同</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xml:space="preserve">23   </w:t>
      </w:r>
      <w:bookmarkStart w:id="1" w:name="_GoBack"/>
      <w:bookmarkEnd w:id="1"/>
      <w:r>
        <w:rPr>
          <w:rFonts w:hint="eastAsia"/>
          <w:color w:val="000000" w:themeColor="text1"/>
          <w:sz w:val="28"/>
          <w:szCs w:val="28"/>
          <w:lang w:val="en-US" w:eastAsia="zh-CN"/>
          <w14:textFill>
            <w14:solidFill>
              <w14:schemeClr w14:val="tx1"/>
            </w14:solidFill>
          </w14:textFill>
        </w:rPr>
        <w:t>签订合同</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23.1 招标人与中标人应于中标通知书发出之日起5日内，按照招标文件和中标人的投标文件签订建设工程施工合同。双方不得再进行订立背离合同实质性内容的其他协议。</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23.2中标单位逾期不与建设单位签订施工合同的，取消中标单位的中标资格，投标保证金不予退还。</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24 履约担保</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中标人在签订施工合同时，应向招标人提交履约保证金，履约保证金数额为人民币叁仟元。履约保证金必须用现金汇入招标人的指定账户。</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第二部分 合同条款</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一、合同工期：</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开工日期：___ ___________________________      </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竣工日期：__ ________________________</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合同工期总日历天数 3天</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二、质量标准</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工程质量标准：__合格_______________________________________        </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三、合同价款</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金额（大写）：_____________________________元（人民币）</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￥：_____________________________元</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四、合同价款与支付</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1、合同价款及调整</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2、本合同价款采用 固定价格合同。</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五、工程预付款</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发包人不向承包人预付工程款。</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六、工程款（进度款）支付</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双方约定的工程款（进度款）支付的方式和时间：本工程不支付预付款，工程完工通过验收合格后支付的工程款的95%，其余5%的工程款作为保修金，在保修期满一年后10天内付清。</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七、担保</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1、本工程双方约定担保事项如下：</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（1）发包人向承包人提供履约担保，担保方式为：              无          </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（2）承包人向发包人提供履约担保，担保方式为： 履约保证金叁仟元，履约担保有效期至工程完成竣工验收合格标准后7日内退还。</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（3）双方约定的其他担保事项： 无                       </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八、工程质量保修书</w:t>
      </w:r>
    </w:p>
    <w:p>
      <w:pPr>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   质量保修期从工程实际竣工之日算起。双方根据国家有关规定，结合具体工程约定质量保修期如下：本工程保修期为一年。除了以上主要条款外，其余条款按照国家工商行政管理局和建设部颁发的《建设工程合同示范文本》（GF-99-0201）执行。</w:t>
      </w:r>
    </w:p>
    <w:p>
      <w:pPr>
        <w:rPr>
          <w:color w:val="000000" w:themeColor="text1"/>
          <w:sz w:val="28"/>
          <w:szCs w:val="28"/>
          <w14:textFill>
            <w14:solidFill>
              <w14:schemeClr w14:val="tx1"/>
            </w14:solidFill>
          </w14:textFill>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3CBB"/>
    <w:multiLevelType w:val="singleLevel"/>
    <w:tmpl w:val="57513CBB"/>
    <w:lvl w:ilvl="0" w:tentative="0">
      <w:start w:val="1"/>
      <w:numFmt w:val="decimal"/>
      <w:suff w:val="nothing"/>
      <w:lvlText w:val="（%1）"/>
      <w:lvlJc w:val="left"/>
    </w:lvl>
  </w:abstractNum>
  <w:abstractNum w:abstractNumId="1">
    <w:nsid w:val="5754D23A"/>
    <w:multiLevelType w:val="singleLevel"/>
    <w:tmpl w:val="5754D23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339D4"/>
    <w:rsid w:val="0A6B1741"/>
    <w:rsid w:val="0AE016EA"/>
    <w:rsid w:val="13A56264"/>
    <w:rsid w:val="17066313"/>
    <w:rsid w:val="246700CD"/>
    <w:rsid w:val="25AE7B14"/>
    <w:rsid w:val="27983D97"/>
    <w:rsid w:val="371A4597"/>
    <w:rsid w:val="3F4E4EC2"/>
    <w:rsid w:val="40651644"/>
    <w:rsid w:val="576A06EC"/>
    <w:rsid w:val="57704A81"/>
    <w:rsid w:val="5A9722EF"/>
    <w:rsid w:val="5E81073C"/>
    <w:rsid w:val="62463014"/>
    <w:rsid w:val="6BC46E9C"/>
    <w:rsid w:val="6FA73158"/>
    <w:rsid w:val="70462A58"/>
    <w:rsid w:val="746551B8"/>
    <w:rsid w:val="76C42C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2016-06-13T11:00:13Z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